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B4C" w:rsidRDefault="00775B4C" w:rsidP="00CE0E21">
      <w:pPr>
        <w:pStyle w:val="Title"/>
        <w:rPr>
          <w:rFonts w:eastAsia="MS Mincho"/>
          <w:lang w:eastAsia="ja-JP"/>
        </w:rPr>
      </w:pPr>
      <w:bookmarkStart w:id="0" w:name="_Toc470685684"/>
      <w:bookmarkStart w:id="1" w:name="_GoBack"/>
      <w:bookmarkEnd w:id="1"/>
      <w:r>
        <w:rPr>
          <w:rFonts w:eastAsia="MS Mincho"/>
          <w:lang w:eastAsia="ja-JP"/>
        </w:rPr>
        <w:t>Journal Articles</w:t>
      </w:r>
    </w:p>
    <w:p w:rsidR="00EB27BE" w:rsidRDefault="00EB27BE">
      <w:pPr>
        <w:pStyle w:val="Heading1"/>
      </w:pPr>
      <w:r w:rsidRPr="00CE0E21">
        <w:t>Chapter</w:t>
      </w:r>
      <w:bookmarkEnd w:id="0"/>
      <w:r w:rsidRPr="00CE0E21">
        <w:t xml:space="preserve"> 11</w:t>
      </w:r>
      <w:r w:rsidR="005D1559">
        <w:t>:</w:t>
      </w:r>
      <w:r w:rsidRPr="00CE0E21">
        <w:t xml:space="preserve"> The Gender Domain</w:t>
      </w:r>
    </w:p>
    <w:p w:rsidR="000C28D8" w:rsidRPr="00CE0E21" w:rsidRDefault="000C28D8" w:rsidP="000C28D8"/>
    <w:p w:rsidR="00EB27BE" w:rsidRDefault="00EB27BE" w:rsidP="00EB27BE">
      <w:pPr>
        <w:spacing w:line="240" w:lineRule="auto"/>
        <w:rPr>
          <w:rFonts w:eastAsia="MS Mincho"/>
          <w:lang w:eastAsia="ja-JP"/>
        </w:rPr>
      </w:pPr>
      <w:r w:rsidRPr="00D579B6">
        <w:rPr>
          <w:rFonts w:eastAsia="MS Mincho"/>
          <w:b/>
          <w:lang w:eastAsia="ja-JP"/>
        </w:rPr>
        <w:t>Article 1:</w:t>
      </w:r>
      <w:r w:rsidR="00364A05">
        <w:rPr>
          <w:rFonts w:eastAsia="MS Mincho"/>
          <w:b/>
          <w:lang w:eastAsia="ja-JP"/>
        </w:rPr>
        <w:t xml:space="preserve"> </w:t>
      </w:r>
      <w:hyperlink r:id="rId8" w:history="1">
        <w:r w:rsidR="00364A05" w:rsidRPr="000C28D8">
          <w:rPr>
            <w:rStyle w:val="Hyperlink"/>
          </w:rPr>
          <w:t xml:space="preserve">Randel, A. E., &amp; </w:t>
        </w:r>
        <w:proofErr w:type="spellStart"/>
        <w:r w:rsidR="00364A05" w:rsidRPr="000C28D8">
          <w:rPr>
            <w:rStyle w:val="Hyperlink"/>
          </w:rPr>
          <w:t>Jaussi</w:t>
        </w:r>
        <w:proofErr w:type="spellEnd"/>
        <w:r w:rsidR="00364A05" w:rsidRPr="000C28D8">
          <w:rPr>
            <w:rStyle w:val="Hyperlink"/>
          </w:rPr>
          <w:t xml:space="preserve">, K. S. (2008). </w:t>
        </w:r>
        <w:proofErr w:type="gramStart"/>
        <w:r w:rsidR="00364A05" w:rsidRPr="000C28D8">
          <w:rPr>
            <w:rStyle w:val="Hyperlink"/>
          </w:rPr>
          <w:t>Gender social and personal identity, sex dissimilarity, relationship conflict, and asymmetrical effects.</w:t>
        </w:r>
        <w:proofErr w:type="gramEnd"/>
        <w:r w:rsidR="00364A05" w:rsidRPr="000C28D8">
          <w:rPr>
            <w:rStyle w:val="Hyperlink"/>
            <w:i/>
            <w:iCs/>
          </w:rPr>
          <w:t xml:space="preserve"> Small Group Research, 39</w:t>
        </w:r>
        <w:r w:rsidR="00364A05" w:rsidRPr="000C28D8">
          <w:rPr>
            <w:rStyle w:val="Hyperlink"/>
          </w:rPr>
          <w:t>(4), 468</w:t>
        </w:r>
        <w:r w:rsidR="005D1559" w:rsidRPr="000C28D8">
          <w:rPr>
            <w:rStyle w:val="Hyperlink"/>
          </w:rPr>
          <w:t>–</w:t>
        </w:r>
        <w:r w:rsidR="00364A05" w:rsidRPr="000C28D8">
          <w:rPr>
            <w:rStyle w:val="Hyperlink"/>
          </w:rPr>
          <w:t xml:space="preserve">491. </w:t>
        </w:r>
        <w:proofErr w:type="gramStart"/>
        <w:r w:rsidR="00364A05" w:rsidRPr="000C28D8">
          <w:rPr>
            <w:rStyle w:val="Hyperlink"/>
          </w:rPr>
          <w:t>doi:</w:t>
        </w:r>
        <w:proofErr w:type="gramEnd"/>
        <w:r w:rsidR="00364A05" w:rsidRPr="000C28D8">
          <w:rPr>
            <w:rStyle w:val="Hyperlink"/>
          </w:rPr>
          <w:t>10.1177/1046496408319875</w:t>
        </w:r>
      </w:hyperlink>
    </w:p>
    <w:p w:rsidR="00EB27BE" w:rsidRDefault="00EB27BE" w:rsidP="00EB27BE">
      <w:pPr>
        <w:spacing w:line="240" w:lineRule="auto"/>
        <w:rPr>
          <w:rFonts w:eastAsia="MS Mincho"/>
          <w:b/>
          <w:lang w:eastAsia="ja-JP"/>
        </w:rPr>
      </w:pPr>
      <w:r>
        <w:rPr>
          <w:rFonts w:eastAsia="MS Mincho"/>
          <w:b/>
          <w:lang w:eastAsia="ja-JP"/>
        </w:rPr>
        <w:t xml:space="preserve">URL: </w:t>
      </w:r>
      <w:r w:rsidR="00364A05" w:rsidRPr="00364A05">
        <w:rPr>
          <w:rFonts w:eastAsia="MS Mincho"/>
          <w:lang w:eastAsia="ja-JP"/>
        </w:rPr>
        <w:t>http://journals.sagepub.com/doi/abs/10.1177/1046496408319875</w:t>
      </w:r>
    </w:p>
    <w:p w:rsidR="00EB27BE" w:rsidRPr="00A14BDE" w:rsidRDefault="00EB27BE" w:rsidP="00EB27BE">
      <w:pPr>
        <w:spacing w:line="240" w:lineRule="auto"/>
        <w:rPr>
          <w:rFonts w:eastAsia="MS Mincho"/>
          <w:lang w:eastAsia="ja-JP"/>
        </w:rPr>
      </w:pPr>
      <w:r w:rsidRPr="00FF0284">
        <w:rPr>
          <w:rFonts w:eastAsia="MS Mincho"/>
          <w:b/>
          <w:lang w:eastAsia="ja-JP"/>
        </w:rPr>
        <w:t xml:space="preserve">Learning Objective: </w:t>
      </w:r>
      <w:r w:rsidR="00A14BDE">
        <w:rPr>
          <w:rFonts w:eastAsia="MS Mincho"/>
          <w:lang w:eastAsia="ja-JP"/>
        </w:rPr>
        <w:t>1,</w:t>
      </w:r>
      <w:r w:rsidR="005D1559">
        <w:rPr>
          <w:rFonts w:eastAsia="MS Mincho"/>
          <w:lang w:eastAsia="ja-JP"/>
        </w:rPr>
        <w:t xml:space="preserve"> </w:t>
      </w:r>
      <w:r w:rsidR="00A14BDE">
        <w:rPr>
          <w:rFonts w:eastAsia="MS Mincho"/>
          <w:lang w:eastAsia="ja-JP"/>
        </w:rPr>
        <w:t>2,</w:t>
      </w:r>
      <w:r w:rsidR="005D1559">
        <w:rPr>
          <w:rFonts w:eastAsia="MS Mincho"/>
          <w:lang w:eastAsia="ja-JP"/>
        </w:rPr>
        <w:t xml:space="preserve"> &amp; </w:t>
      </w:r>
      <w:r w:rsidR="00A14BDE">
        <w:rPr>
          <w:rFonts w:eastAsia="MS Mincho"/>
          <w:lang w:eastAsia="ja-JP"/>
        </w:rPr>
        <w:t>3</w:t>
      </w:r>
    </w:p>
    <w:p w:rsidR="00EB27BE" w:rsidRPr="00A14BDE" w:rsidRDefault="00EB27BE" w:rsidP="00EB27BE">
      <w:pPr>
        <w:spacing w:line="240" w:lineRule="auto"/>
        <w:rPr>
          <w:rFonts w:eastAsia="MS Mincho"/>
          <w:lang w:eastAsia="ja-JP"/>
        </w:rPr>
      </w:pPr>
      <w:r>
        <w:rPr>
          <w:rFonts w:eastAsia="MS Mincho"/>
          <w:b/>
          <w:lang w:eastAsia="ja-JP"/>
        </w:rPr>
        <w:t xml:space="preserve">Summary: </w:t>
      </w:r>
      <w:r w:rsidR="00A14BDE">
        <w:rPr>
          <w:rFonts w:eastAsia="MS Mincho"/>
          <w:lang w:eastAsia="ja-JP"/>
        </w:rPr>
        <w:t xml:space="preserve">Abstract: </w:t>
      </w:r>
      <w:r w:rsidR="00A14BDE" w:rsidRPr="00A14BDE">
        <w:rPr>
          <w:rFonts w:eastAsia="MS Mincho"/>
          <w:lang w:eastAsia="ja-JP"/>
        </w:rPr>
        <w:t>Research on the linkage between sex diversity and relationship conflict has yielded inconsistent findings. In efforts to address this inconsistency and to better understand what contributes to group member perceptions of relationship conflict, interrelationships among sex dissimilarity, gender identity, and relationship conflict were examined utilizing theoretical frameworks from the literatures on identity, status, sex diversity, and asymmetrical effects. Results show that gender social identity moderated the effects of sex dissimilarity on relationship conflict such that in the presence of a strong gender social identity, sex dissimilarity increased perceptions of relationship conflict. This effect was stronger for men than for women, such that men with strong gender social identities in groups in which they were sex dissimilar had greater perceptions of relationship conflict. In addition, a significant three-way interaction was found, in which sex-dissimilar individuals with strong gender social and personal identities perceived a particularly high level of relationship conflict.</w:t>
      </w:r>
    </w:p>
    <w:p w:rsidR="00EB27BE" w:rsidRPr="00D579B6" w:rsidRDefault="00EB27BE" w:rsidP="00EB27BE">
      <w:pPr>
        <w:spacing w:line="240" w:lineRule="auto"/>
        <w:rPr>
          <w:rFonts w:eastAsia="MS Mincho"/>
          <w:lang w:eastAsia="ja-JP"/>
        </w:rPr>
      </w:pPr>
      <w:r w:rsidRPr="00557E5A">
        <w:rPr>
          <w:b/>
        </w:rPr>
        <w:t>Questions to Consider:</w:t>
      </w:r>
    </w:p>
    <w:p w:rsidR="00EB27BE" w:rsidRDefault="000A7B70" w:rsidP="00DE7B62">
      <w:pPr>
        <w:numPr>
          <w:ilvl w:val="0"/>
          <w:numId w:val="1"/>
        </w:numPr>
        <w:spacing w:after="0" w:line="240" w:lineRule="auto"/>
      </w:pPr>
      <w:r>
        <w:t xml:space="preserve">We use the term </w:t>
      </w:r>
      <w:r w:rsidRPr="00CE0E21">
        <w:rPr>
          <w:i/>
        </w:rPr>
        <w:t>gender identity</w:t>
      </w:r>
      <w:r>
        <w:t xml:space="preserve"> to refer to identification with a particular ______.</w:t>
      </w:r>
      <w:r w:rsidR="00DE7B62">
        <w:t xml:space="preserve"> </w:t>
      </w:r>
      <w:r w:rsidR="00DE7B62" w:rsidRPr="00DE7B62">
        <w:t>Cognitive Domain: Knowledge</w:t>
      </w:r>
    </w:p>
    <w:p w:rsidR="000A7B70" w:rsidRDefault="006B7F74" w:rsidP="000A7B70">
      <w:pPr>
        <w:pStyle w:val="ListParagraph"/>
        <w:numPr>
          <w:ilvl w:val="0"/>
          <w:numId w:val="4"/>
        </w:numPr>
        <w:spacing w:after="0" w:line="240" w:lineRule="auto"/>
      </w:pPr>
      <w:r>
        <w:t>group</w:t>
      </w:r>
    </w:p>
    <w:p w:rsidR="000A7B70" w:rsidRDefault="006B7F74" w:rsidP="000A7B70">
      <w:pPr>
        <w:pStyle w:val="ListParagraph"/>
        <w:numPr>
          <w:ilvl w:val="0"/>
          <w:numId w:val="4"/>
        </w:numPr>
        <w:spacing w:after="0" w:line="240" w:lineRule="auto"/>
      </w:pPr>
      <w:r>
        <w:t>role</w:t>
      </w:r>
    </w:p>
    <w:p w:rsidR="000A7B70" w:rsidRPr="000A7B70" w:rsidRDefault="006B7F74" w:rsidP="004E2FFC">
      <w:pPr>
        <w:pStyle w:val="ListParagraph"/>
        <w:numPr>
          <w:ilvl w:val="0"/>
          <w:numId w:val="4"/>
        </w:numPr>
        <w:spacing w:after="0" w:line="240" w:lineRule="auto"/>
        <w:rPr>
          <w:b/>
        </w:rPr>
      </w:pPr>
      <w:r>
        <w:rPr>
          <w:b/>
        </w:rPr>
        <w:t>s</w:t>
      </w:r>
      <w:r w:rsidRPr="000A7B70">
        <w:rPr>
          <w:b/>
        </w:rPr>
        <w:t>ex</w:t>
      </w:r>
      <w:r w:rsidR="000A7B70">
        <w:rPr>
          <w:b/>
        </w:rPr>
        <w:t xml:space="preserve"> </w:t>
      </w:r>
    </w:p>
    <w:p w:rsidR="000A7B70" w:rsidRPr="00557E5A" w:rsidRDefault="006B7F74" w:rsidP="000A7B70">
      <w:pPr>
        <w:pStyle w:val="ListParagraph"/>
        <w:numPr>
          <w:ilvl w:val="0"/>
          <w:numId w:val="4"/>
        </w:numPr>
        <w:spacing w:after="0" w:line="240" w:lineRule="auto"/>
      </w:pPr>
      <w:r>
        <w:t>theory</w:t>
      </w:r>
    </w:p>
    <w:p w:rsidR="00EB27BE" w:rsidRDefault="00E143DB" w:rsidP="00DE7B62">
      <w:pPr>
        <w:numPr>
          <w:ilvl w:val="0"/>
          <w:numId w:val="1"/>
        </w:numPr>
        <w:spacing w:after="0" w:line="240" w:lineRule="auto"/>
      </w:pPr>
      <w:r>
        <w:t>______</w:t>
      </w:r>
      <w:r w:rsidR="006B7F74">
        <w:t xml:space="preserve"> </w:t>
      </w:r>
      <w:r>
        <w:t>can be</w:t>
      </w:r>
      <w:r w:rsidR="00882B90">
        <w:t xml:space="preserve"> </w:t>
      </w:r>
      <w:r>
        <w:t>used</w:t>
      </w:r>
      <w:r w:rsidR="00882B90">
        <w:t xml:space="preserve"> </w:t>
      </w:r>
      <w:r>
        <w:t>to</w:t>
      </w:r>
      <w:r w:rsidR="00882B90">
        <w:t xml:space="preserve"> </w:t>
      </w:r>
      <w:r>
        <w:t>form</w:t>
      </w:r>
      <w:r w:rsidR="00882B90">
        <w:t xml:space="preserve"> </w:t>
      </w:r>
      <w:r>
        <w:t>expectations</w:t>
      </w:r>
      <w:r w:rsidR="00882B90">
        <w:t xml:space="preserve"> </w:t>
      </w:r>
      <w:r>
        <w:t>about</w:t>
      </w:r>
      <w:r w:rsidR="00882B90">
        <w:t xml:space="preserve"> </w:t>
      </w:r>
      <w:r>
        <w:t>the</w:t>
      </w:r>
      <w:r w:rsidR="00882B90">
        <w:t xml:space="preserve"> </w:t>
      </w:r>
      <w:r>
        <w:t>quality</w:t>
      </w:r>
      <w:r w:rsidR="00882B90">
        <w:t xml:space="preserve"> </w:t>
      </w:r>
      <w:r>
        <w:t>and</w:t>
      </w:r>
      <w:r w:rsidR="00882B90">
        <w:t xml:space="preserve"> </w:t>
      </w:r>
      <w:r>
        <w:t>type</w:t>
      </w:r>
      <w:r w:rsidR="00882B90">
        <w:t xml:space="preserve"> </w:t>
      </w:r>
      <w:r>
        <w:t>of</w:t>
      </w:r>
      <w:r w:rsidR="00882B90">
        <w:t xml:space="preserve"> </w:t>
      </w:r>
      <w:r>
        <w:t>relationships among</w:t>
      </w:r>
      <w:r w:rsidR="00882B90">
        <w:t xml:space="preserve"> </w:t>
      </w:r>
      <w:r>
        <w:t>group</w:t>
      </w:r>
      <w:r w:rsidR="00882B90">
        <w:t xml:space="preserve"> </w:t>
      </w:r>
      <w:r>
        <w:t>members.</w:t>
      </w:r>
      <w:r w:rsidR="00DE7B62">
        <w:t xml:space="preserve"> </w:t>
      </w:r>
      <w:r w:rsidR="00DE7B62" w:rsidRPr="00DE7B62">
        <w:t>Cognitive Domain: Comprehension</w:t>
      </w:r>
    </w:p>
    <w:p w:rsidR="00E143DB" w:rsidRDefault="00E143DB" w:rsidP="00E143DB">
      <w:pPr>
        <w:pStyle w:val="ListParagraph"/>
        <w:numPr>
          <w:ilvl w:val="0"/>
          <w:numId w:val="5"/>
        </w:numPr>
        <w:spacing w:after="0" w:line="240" w:lineRule="auto"/>
      </w:pPr>
      <w:r>
        <w:t>Gender expectations</w:t>
      </w:r>
    </w:p>
    <w:p w:rsidR="00E143DB" w:rsidRPr="00E143DB" w:rsidRDefault="00E143DB" w:rsidP="00393273">
      <w:pPr>
        <w:pStyle w:val="ListParagraph"/>
        <w:numPr>
          <w:ilvl w:val="0"/>
          <w:numId w:val="5"/>
        </w:numPr>
        <w:spacing w:after="0" w:line="240" w:lineRule="auto"/>
        <w:rPr>
          <w:b/>
        </w:rPr>
      </w:pPr>
      <w:r w:rsidRPr="00E143DB">
        <w:rPr>
          <w:b/>
        </w:rPr>
        <w:t>Sex dissimilarity</w:t>
      </w:r>
      <w:r>
        <w:rPr>
          <w:b/>
        </w:rPr>
        <w:t xml:space="preserve"> </w:t>
      </w:r>
    </w:p>
    <w:p w:rsidR="00E143DB" w:rsidRDefault="00E143DB" w:rsidP="00E143DB">
      <w:pPr>
        <w:pStyle w:val="ListParagraph"/>
        <w:numPr>
          <w:ilvl w:val="0"/>
          <w:numId w:val="5"/>
        </w:numPr>
        <w:spacing w:after="0" w:line="240" w:lineRule="auto"/>
      </w:pPr>
      <w:r>
        <w:t>Sex discrimination</w:t>
      </w:r>
    </w:p>
    <w:p w:rsidR="00E143DB" w:rsidRPr="00557E5A" w:rsidRDefault="00E143DB" w:rsidP="00E143DB">
      <w:pPr>
        <w:pStyle w:val="ListParagraph"/>
        <w:numPr>
          <w:ilvl w:val="0"/>
          <w:numId w:val="5"/>
        </w:numPr>
        <w:spacing w:after="0" w:line="240" w:lineRule="auto"/>
      </w:pPr>
      <w:r>
        <w:t>Interpersonal tension</w:t>
      </w:r>
    </w:p>
    <w:p w:rsidR="00EB27BE" w:rsidRPr="00557E5A" w:rsidRDefault="00EA430C" w:rsidP="00D51E07">
      <w:pPr>
        <w:numPr>
          <w:ilvl w:val="0"/>
          <w:numId w:val="1"/>
        </w:numPr>
        <w:spacing w:after="0" w:line="240" w:lineRule="auto"/>
      </w:pPr>
      <w:r>
        <w:t xml:space="preserve">Break down the terms by defining and discussing them, in the article’s statement: “Gender personal identity is a self-focused construct in which the individual (rather than the group) is the locus of self-definition.” </w:t>
      </w:r>
      <w:r w:rsidR="00D51E07" w:rsidRPr="00D51E07">
        <w:t>Cognitive Domain: Analysis</w:t>
      </w:r>
    </w:p>
    <w:p w:rsidR="00EB27BE" w:rsidRDefault="00EB27BE" w:rsidP="00EB27BE">
      <w:pPr>
        <w:spacing w:after="0" w:line="240" w:lineRule="auto"/>
        <w:rPr>
          <w:b/>
          <w:color w:val="548DD4"/>
          <w:sz w:val="28"/>
          <w:szCs w:val="26"/>
        </w:rPr>
      </w:pPr>
    </w:p>
    <w:p w:rsidR="00EB27BE" w:rsidRDefault="00EB27BE" w:rsidP="00EB27BE">
      <w:pPr>
        <w:spacing w:line="240" w:lineRule="auto"/>
        <w:rPr>
          <w:rFonts w:eastAsia="MS Mincho"/>
          <w:lang w:eastAsia="ja-JP"/>
        </w:rPr>
      </w:pPr>
      <w:r>
        <w:rPr>
          <w:rFonts w:eastAsia="MS Mincho"/>
          <w:b/>
          <w:lang w:eastAsia="ja-JP"/>
        </w:rPr>
        <w:t>Article 2</w:t>
      </w:r>
      <w:r w:rsidRPr="00D579B6">
        <w:rPr>
          <w:rFonts w:eastAsia="MS Mincho"/>
          <w:b/>
          <w:lang w:eastAsia="ja-JP"/>
        </w:rPr>
        <w:t>:</w:t>
      </w:r>
      <w:r w:rsidRPr="00557E5A">
        <w:rPr>
          <w:rFonts w:eastAsia="MS Mincho"/>
          <w:lang w:eastAsia="ja-JP"/>
        </w:rPr>
        <w:t xml:space="preserve"> </w:t>
      </w:r>
      <w:hyperlink r:id="rId9" w:history="1">
        <w:r w:rsidR="00027429" w:rsidRPr="000C28D8">
          <w:rPr>
            <w:rStyle w:val="Hyperlink"/>
          </w:rPr>
          <w:t xml:space="preserve">Squires, J., &amp; </w:t>
        </w:r>
        <w:proofErr w:type="spellStart"/>
        <w:r w:rsidR="00027429" w:rsidRPr="000C28D8">
          <w:rPr>
            <w:rStyle w:val="Hyperlink"/>
          </w:rPr>
          <w:t>Weldes</w:t>
        </w:r>
        <w:proofErr w:type="spellEnd"/>
        <w:r w:rsidR="00027429" w:rsidRPr="000C28D8">
          <w:rPr>
            <w:rStyle w:val="Hyperlink"/>
          </w:rPr>
          <w:t xml:space="preserve">, J. (2007). </w:t>
        </w:r>
        <w:proofErr w:type="gramStart"/>
        <w:r w:rsidR="00027429" w:rsidRPr="000C28D8">
          <w:rPr>
            <w:rStyle w:val="Hyperlink"/>
          </w:rPr>
          <w:t xml:space="preserve">Beyond being marginal: Gender and international relations in </w:t>
        </w:r>
        <w:r w:rsidR="006B7F74" w:rsidRPr="000C28D8">
          <w:rPr>
            <w:rStyle w:val="Hyperlink"/>
          </w:rPr>
          <w:t>Britain</w:t>
        </w:r>
        <w:r w:rsidR="00027429" w:rsidRPr="000C28D8">
          <w:rPr>
            <w:rStyle w:val="Hyperlink"/>
          </w:rPr>
          <w:t>.</w:t>
        </w:r>
        <w:proofErr w:type="gramEnd"/>
        <w:r w:rsidR="00027429" w:rsidRPr="000C28D8">
          <w:rPr>
            <w:rStyle w:val="Hyperlink"/>
            <w:i/>
            <w:iCs/>
          </w:rPr>
          <w:t xml:space="preserve"> British Journal of Politics and International Relations, 9</w:t>
        </w:r>
        <w:r w:rsidR="00027429" w:rsidRPr="000C28D8">
          <w:rPr>
            <w:rStyle w:val="Hyperlink"/>
          </w:rPr>
          <w:t>(2), 185</w:t>
        </w:r>
        <w:r w:rsidR="006B7F74" w:rsidRPr="000C28D8">
          <w:rPr>
            <w:rStyle w:val="Hyperlink"/>
          </w:rPr>
          <w:t>–</w:t>
        </w:r>
        <w:r w:rsidR="00027429" w:rsidRPr="000C28D8">
          <w:rPr>
            <w:rStyle w:val="Hyperlink"/>
          </w:rPr>
          <w:t>203. doi:10.1111/j.1467-856X.2007.00289.x</w:t>
        </w:r>
      </w:hyperlink>
    </w:p>
    <w:p w:rsidR="00EB27BE" w:rsidRDefault="00EB27BE" w:rsidP="00EB27BE">
      <w:pPr>
        <w:spacing w:line="240" w:lineRule="auto"/>
        <w:rPr>
          <w:rFonts w:eastAsia="MS Mincho"/>
          <w:b/>
          <w:lang w:eastAsia="ja-JP"/>
        </w:rPr>
      </w:pPr>
      <w:r>
        <w:rPr>
          <w:rFonts w:eastAsia="MS Mincho"/>
          <w:b/>
          <w:lang w:eastAsia="ja-JP"/>
        </w:rPr>
        <w:t xml:space="preserve">URL: </w:t>
      </w:r>
      <w:r w:rsidR="00027429" w:rsidRPr="00027429">
        <w:rPr>
          <w:rFonts w:eastAsia="MS Mincho"/>
          <w:lang w:eastAsia="ja-JP"/>
        </w:rPr>
        <w:t>http://journals.sagepub.com/doi/full/10.1111/j.1467-856x.2007.00289.x</w:t>
      </w:r>
    </w:p>
    <w:p w:rsidR="00EB27BE" w:rsidRPr="00BE586D" w:rsidRDefault="00EB27BE" w:rsidP="00EB27BE">
      <w:pPr>
        <w:spacing w:line="240" w:lineRule="auto"/>
        <w:rPr>
          <w:rFonts w:eastAsia="MS Mincho"/>
          <w:lang w:eastAsia="ja-JP"/>
        </w:rPr>
      </w:pPr>
      <w:r w:rsidRPr="00FF0284">
        <w:rPr>
          <w:rFonts w:eastAsia="MS Mincho"/>
          <w:b/>
          <w:lang w:eastAsia="ja-JP"/>
        </w:rPr>
        <w:t xml:space="preserve">Learning Objective: </w:t>
      </w:r>
      <w:r w:rsidR="00BE586D">
        <w:rPr>
          <w:rFonts w:eastAsia="MS Mincho"/>
          <w:lang w:eastAsia="ja-JP"/>
        </w:rPr>
        <w:t>2</w:t>
      </w:r>
      <w:r w:rsidR="006B7F74">
        <w:rPr>
          <w:rFonts w:eastAsia="MS Mincho"/>
          <w:lang w:eastAsia="ja-JP"/>
        </w:rPr>
        <w:t xml:space="preserve"> &amp; </w:t>
      </w:r>
      <w:r w:rsidR="00BE586D">
        <w:rPr>
          <w:rFonts w:eastAsia="MS Mincho"/>
          <w:lang w:eastAsia="ja-JP"/>
        </w:rPr>
        <w:t>3</w:t>
      </w:r>
    </w:p>
    <w:p w:rsidR="00EB27BE" w:rsidRPr="00BE586D" w:rsidRDefault="00EB27BE" w:rsidP="00EB27BE">
      <w:pPr>
        <w:spacing w:line="240" w:lineRule="auto"/>
        <w:rPr>
          <w:rFonts w:eastAsia="MS Mincho"/>
          <w:lang w:eastAsia="ja-JP"/>
        </w:rPr>
      </w:pPr>
      <w:r>
        <w:rPr>
          <w:rFonts w:eastAsia="MS Mincho"/>
          <w:b/>
          <w:lang w:eastAsia="ja-JP"/>
        </w:rPr>
        <w:t xml:space="preserve">Summary: </w:t>
      </w:r>
      <w:r w:rsidR="00BE586D">
        <w:rPr>
          <w:rFonts w:eastAsia="MS Mincho"/>
          <w:lang w:eastAsia="ja-JP"/>
        </w:rPr>
        <w:t xml:space="preserve">Abstract: </w:t>
      </w:r>
      <w:r w:rsidR="00BE586D" w:rsidRPr="00BE586D">
        <w:rPr>
          <w:rFonts w:eastAsia="MS Mincho"/>
          <w:lang w:eastAsia="ja-JP"/>
        </w:rPr>
        <w:t xml:space="preserve">In this introduction, we situate ‘gender and international relations in Britain’. We discuss our understandings of gender, I/international R/relations and GIR. In the second section we discuss the relationship of </w:t>
      </w:r>
      <w:r w:rsidR="00BE586D" w:rsidRPr="00BE586D">
        <w:rPr>
          <w:rFonts w:eastAsia="MS Mincho"/>
          <w:lang w:eastAsia="ja-JP"/>
        </w:rPr>
        <w:lastRenderedPageBreak/>
        <w:t>feminist to gendered IR, arguing that while intimately related, they are nonetheless not synonymous. We turn in the third section to a critical discussion of feminist IR's tendency to see itself as marginal to mainstream IR, a move that contributes to the marginalisation it laments. In the fourth section we compare the development of GIR with gender in Politics, which has been less concerned from the outset with issues of marginality. In the final section we argue that GIR has come into its own, introducing the articles in this issue as instances of self-assured gendered analyses of ‘things international’.</w:t>
      </w:r>
    </w:p>
    <w:p w:rsidR="00EB27BE" w:rsidRPr="00D579B6" w:rsidRDefault="00EB27BE" w:rsidP="00EB27BE">
      <w:pPr>
        <w:spacing w:line="240" w:lineRule="auto"/>
        <w:rPr>
          <w:rFonts w:eastAsia="MS Mincho"/>
          <w:lang w:eastAsia="ja-JP"/>
        </w:rPr>
      </w:pPr>
      <w:r w:rsidRPr="00557E5A">
        <w:rPr>
          <w:b/>
        </w:rPr>
        <w:t>Questions to Consider:</w:t>
      </w:r>
      <w:r>
        <w:rPr>
          <w:b/>
        </w:rPr>
        <w:t xml:space="preserve"> </w:t>
      </w:r>
    </w:p>
    <w:p w:rsidR="00EB27BE" w:rsidRDefault="00D3280C" w:rsidP="000D79BD">
      <w:pPr>
        <w:numPr>
          <w:ilvl w:val="0"/>
          <w:numId w:val="2"/>
        </w:numPr>
        <w:spacing w:after="0" w:line="240" w:lineRule="auto"/>
      </w:pPr>
      <w:r>
        <w:t>The authors of this article posit that ______ is defined as “a set of culturally defined characteristics, in order to counter the biological determinism from which it is argued that one’s biological sex determines one’s social and cultural characteristics and roles.”</w:t>
      </w:r>
      <w:r w:rsidR="000D79BD">
        <w:t xml:space="preserve"> </w:t>
      </w:r>
      <w:r w:rsidR="000D79BD" w:rsidRPr="000D79BD">
        <w:t>Cognitive Domain: Comprehension</w:t>
      </w:r>
    </w:p>
    <w:p w:rsidR="00D3280C" w:rsidRDefault="006B7F74" w:rsidP="00D3280C">
      <w:pPr>
        <w:pStyle w:val="ListParagraph"/>
        <w:numPr>
          <w:ilvl w:val="0"/>
          <w:numId w:val="6"/>
        </w:numPr>
        <w:spacing w:after="0" w:line="240" w:lineRule="auto"/>
      </w:pPr>
      <w:r>
        <w:t>genetics</w:t>
      </w:r>
    </w:p>
    <w:p w:rsidR="00D3280C" w:rsidRDefault="006B7F74" w:rsidP="00D3280C">
      <w:pPr>
        <w:pStyle w:val="ListParagraph"/>
        <w:numPr>
          <w:ilvl w:val="0"/>
          <w:numId w:val="6"/>
        </w:numPr>
        <w:spacing w:after="0" w:line="240" w:lineRule="auto"/>
      </w:pPr>
      <w:r>
        <w:t>sex</w:t>
      </w:r>
    </w:p>
    <w:p w:rsidR="00D3280C" w:rsidRPr="00D3280C" w:rsidRDefault="006B7F74" w:rsidP="00D3280C">
      <w:pPr>
        <w:pStyle w:val="ListParagraph"/>
        <w:numPr>
          <w:ilvl w:val="0"/>
          <w:numId w:val="6"/>
        </w:numPr>
        <w:spacing w:after="0" w:line="240" w:lineRule="auto"/>
        <w:rPr>
          <w:b/>
        </w:rPr>
      </w:pPr>
      <w:r>
        <w:rPr>
          <w:b/>
        </w:rPr>
        <w:t>g</w:t>
      </w:r>
      <w:r w:rsidRPr="00D3280C">
        <w:rPr>
          <w:b/>
        </w:rPr>
        <w:t>ender</w:t>
      </w:r>
      <w:r w:rsidR="00D3280C">
        <w:rPr>
          <w:b/>
        </w:rPr>
        <w:t xml:space="preserve"> </w:t>
      </w:r>
    </w:p>
    <w:p w:rsidR="00D3280C" w:rsidRPr="00557E5A" w:rsidRDefault="006B7F74" w:rsidP="00D3280C">
      <w:pPr>
        <w:pStyle w:val="ListParagraph"/>
        <w:numPr>
          <w:ilvl w:val="0"/>
          <w:numId w:val="6"/>
        </w:numPr>
        <w:spacing w:after="0" w:line="240" w:lineRule="auto"/>
      </w:pPr>
      <w:r>
        <w:t xml:space="preserve">binary </w:t>
      </w:r>
      <w:r w:rsidR="00D3280C">
        <w:t>assignment</w:t>
      </w:r>
    </w:p>
    <w:p w:rsidR="00156AEC" w:rsidRDefault="00156AEC" w:rsidP="000D79BD">
      <w:pPr>
        <w:numPr>
          <w:ilvl w:val="0"/>
          <w:numId w:val="2"/>
        </w:numPr>
        <w:spacing w:after="0" w:line="240" w:lineRule="auto"/>
      </w:pPr>
      <w:r>
        <w:t>Developments in gender theory have largely been inspired and shaped by ______.</w:t>
      </w:r>
      <w:r w:rsidR="000D79BD">
        <w:t xml:space="preserve"> </w:t>
      </w:r>
      <w:r w:rsidR="000D79BD" w:rsidRPr="000D79BD">
        <w:t>Cognitive Domain: Knowledge</w:t>
      </w:r>
    </w:p>
    <w:p w:rsidR="00156AEC" w:rsidRDefault="006B7F74" w:rsidP="00156AEC">
      <w:pPr>
        <w:pStyle w:val="ListParagraph"/>
        <w:numPr>
          <w:ilvl w:val="0"/>
          <w:numId w:val="7"/>
        </w:numPr>
        <w:spacing w:after="0" w:line="240" w:lineRule="auto"/>
      </w:pPr>
      <w:r>
        <w:t xml:space="preserve">scientific </w:t>
      </w:r>
      <w:r w:rsidR="00156AEC">
        <w:t>discovery</w:t>
      </w:r>
    </w:p>
    <w:p w:rsidR="00156AEC" w:rsidRDefault="006B7F74" w:rsidP="00156AEC">
      <w:pPr>
        <w:pStyle w:val="ListParagraph"/>
        <w:numPr>
          <w:ilvl w:val="0"/>
          <w:numId w:val="7"/>
        </w:numPr>
        <w:spacing w:after="0" w:line="240" w:lineRule="auto"/>
      </w:pPr>
      <w:r>
        <w:t xml:space="preserve">expanding </w:t>
      </w:r>
      <w:r w:rsidR="00156AEC">
        <w:t>biological concepts</w:t>
      </w:r>
    </w:p>
    <w:p w:rsidR="00156AEC" w:rsidRDefault="006B7F74" w:rsidP="00156AEC">
      <w:pPr>
        <w:pStyle w:val="ListParagraph"/>
        <w:numPr>
          <w:ilvl w:val="0"/>
          <w:numId w:val="7"/>
        </w:numPr>
        <w:spacing w:after="0" w:line="240" w:lineRule="auto"/>
      </w:pPr>
      <w:r>
        <w:t xml:space="preserve">social </w:t>
      </w:r>
      <w:r w:rsidR="00156AEC">
        <w:t>acceptance</w:t>
      </w:r>
    </w:p>
    <w:p w:rsidR="00156AEC" w:rsidRPr="001456FB" w:rsidRDefault="006B7F74" w:rsidP="001456FB">
      <w:pPr>
        <w:pStyle w:val="ListParagraph"/>
        <w:numPr>
          <w:ilvl w:val="0"/>
          <w:numId w:val="7"/>
        </w:numPr>
        <w:spacing w:after="0" w:line="240" w:lineRule="auto"/>
        <w:rPr>
          <w:b/>
        </w:rPr>
      </w:pPr>
      <w:r>
        <w:rPr>
          <w:b/>
        </w:rPr>
        <w:t>f</w:t>
      </w:r>
      <w:r w:rsidRPr="001456FB">
        <w:rPr>
          <w:b/>
        </w:rPr>
        <w:t xml:space="preserve">eminist </w:t>
      </w:r>
      <w:r w:rsidR="00156AEC" w:rsidRPr="001456FB">
        <w:rPr>
          <w:b/>
        </w:rPr>
        <w:t>politics</w:t>
      </w:r>
      <w:r w:rsidR="001456FB">
        <w:rPr>
          <w:b/>
        </w:rPr>
        <w:t xml:space="preserve"> </w:t>
      </w:r>
    </w:p>
    <w:p w:rsidR="00EB27BE" w:rsidRDefault="00AA70F0" w:rsidP="00AA70F0">
      <w:pPr>
        <w:numPr>
          <w:ilvl w:val="0"/>
          <w:numId w:val="2"/>
        </w:numPr>
        <w:spacing w:after="0" w:line="240" w:lineRule="auto"/>
      </w:pPr>
      <w:r>
        <w:t xml:space="preserve">Explain what the authors mean by their research focusing on “exploring multiple femininities and masculinities in ways that extend beyond specifically feminist concerns.” </w:t>
      </w:r>
      <w:r w:rsidRPr="00AA70F0">
        <w:t>Cognitive Domain: Analysis</w:t>
      </w:r>
    </w:p>
    <w:p w:rsidR="00EB27BE" w:rsidRPr="00557E5A" w:rsidRDefault="00EB27BE" w:rsidP="00EB27BE">
      <w:pPr>
        <w:spacing w:after="0" w:line="240" w:lineRule="auto"/>
        <w:ind w:left="720"/>
      </w:pPr>
    </w:p>
    <w:p w:rsidR="00EB27BE" w:rsidRDefault="00EB27BE" w:rsidP="00EB27BE">
      <w:pPr>
        <w:spacing w:line="240" w:lineRule="auto"/>
        <w:rPr>
          <w:rFonts w:eastAsia="MS Mincho"/>
          <w:lang w:eastAsia="ja-JP"/>
        </w:rPr>
      </w:pPr>
      <w:r>
        <w:rPr>
          <w:rFonts w:eastAsia="MS Mincho"/>
          <w:b/>
          <w:lang w:eastAsia="ja-JP"/>
        </w:rPr>
        <w:t>Article 3</w:t>
      </w:r>
      <w:r w:rsidRPr="00D579B6">
        <w:rPr>
          <w:rFonts w:eastAsia="MS Mincho"/>
          <w:b/>
          <w:lang w:eastAsia="ja-JP"/>
        </w:rPr>
        <w:t>:</w:t>
      </w:r>
      <w:r w:rsidRPr="00557E5A">
        <w:rPr>
          <w:rFonts w:eastAsia="MS Mincho"/>
          <w:lang w:eastAsia="ja-JP"/>
        </w:rPr>
        <w:t xml:space="preserve"> </w:t>
      </w:r>
      <w:hyperlink r:id="rId10" w:history="1">
        <w:r w:rsidR="009B6066" w:rsidRPr="000C28D8">
          <w:rPr>
            <w:rStyle w:val="Hyperlink"/>
          </w:rPr>
          <w:t>Sánchez-</w:t>
        </w:r>
        <w:proofErr w:type="spellStart"/>
        <w:r w:rsidR="009B6066" w:rsidRPr="000C28D8">
          <w:rPr>
            <w:rStyle w:val="Hyperlink"/>
          </w:rPr>
          <w:t>López</w:t>
        </w:r>
        <w:proofErr w:type="spellEnd"/>
        <w:r w:rsidR="009B6066" w:rsidRPr="000C28D8">
          <w:rPr>
            <w:rStyle w:val="Hyperlink"/>
          </w:rPr>
          <w:t xml:space="preserve">, M. P., </w:t>
        </w:r>
        <w:proofErr w:type="spellStart"/>
        <w:r w:rsidR="009B6066" w:rsidRPr="000C28D8">
          <w:rPr>
            <w:rStyle w:val="Hyperlink"/>
          </w:rPr>
          <w:t>Cuéllar</w:t>
        </w:r>
        <w:proofErr w:type="spellEnd"/>
        <w:r w:rsidR="009B6066" w:rsidRPr="000C28D8">
          <w:rPr>
            <w:rStyle w:val="Hyperlink"/>
          </w:rPr>
          <w:t xml:space="preserve">-Flores, I., </w:t>
        </w:r>
        <w:proofErr w:type="spellStart"/>
        <w:r w:rsidR="009B6066" w:rsidRPr="000C28D8">
          <w:rPr>
            <w:rStyle w:val="Hyperlink"/>
          </w:rPr>
          <w:t>Limiñana</w:t>
        </w:r>
        <w:proofErr w:type="spellEnd"/>
        <w:r w:rsidR="009B6066" w:rsidRPr="000C28D8">
          <w:rPr>
            <w:rStyle w:val="Hyperlink"/>
          </w:rPr>
          <w:t xml:space="preserve">, R., &amp; </w:t>
        </w:r>
        <w:proofErr w:type="spellStart"/>
        <w:r w:rsidR="009B6066" w:rsidRPr="000C28D8">
          <w:rPr>
            <w:rStyle w:val="Hyperlink"/>
          </w:rPr>
          <w:t>Corbalán</w:t>
        </w:r>
        <w:proofErr w:type="spellEnd"/>
        <w:r w:rsidR="009B6066" w:rsidRPr="000C28D8">
          <w:rPr>
            <w:rStyle w:val="Hyperlink"/>
          </w:rPr>
          <w:t>, J. (2012). Differential personality styles in men and women: The modulating effect of gender conformity.</w:t>
        </w:r>
        <w:r w:rsidR="009B6066" w:rsidRPr="000C28D8">
          <w:rPr>
            <w:rStyle w:val="Hyperlink"/>
            <w:i/>
            <w:iCs/>
          </w:rPr>
          <w:t xml:space="preserve"> </w:t>
        </w:r>
        <w:proofErr w:type="gramStart"/>
        <w:r w:rsidR="009B6066" w:rsidRPr="000C28D8">
          <w:rPr>
            <w:rStyle w:val="Hyperlink"/>
            <w:i/>
            <w:iCs/>
          </w:rPr>
          <w:t>SAGE Open, 2</w:t>
        </w:r>
        <w:r w:rsidR="009B6066" w:rsidRPr="000C28D8">
          <w:rPr>
            <w:rStyle w:val="Hyperlink"/>
          </w:rPr>
          <w:t>(2), 215824401245175.</w:t>
        </w:r>
        <w:proofErr w:type="gramEnd"/>
        <w:r w:rsidR="009B6066" w:rsidRPr="000C28D8">
          <w:rPr>
            <w:rStyle w:val="Hyperlink"/>
          </w:rPr>
          <w:t xml:space="preserve"> </w:t>
        </w:r>
        <w:proofErr w:type="gramStart"/>
        <w:r w:rsidR="009B6066" w:rsidRPr="000C28D8">
          <w:rPr>
            <w:rStyle w:val="Hyperlink"/>
          </w:rPr>
          <w:t>doi:</w:t>
        </w:r>
        <w:proofErr w:type="gramEnd"/>
        <w:r w:rsidR="009B6066" w:rsidRPr="000C28D8">
          <w:rPr>
            <w:rStyle w:val="Hyperlink"/>
          </w:rPr>
          <w:t>10.1177/2158244012451752</w:t>
        </w:r>
      </w:hyperlink>
    </w:p>
    <w:p w:rsidR="00EB27BE" w:rsidRDefault="00EB27BE" w:rsidP="00EB27BE">
      <w:pPr>
        <w:spacing w:line="240" w:lineRule="auto"/>
        <w:rPr>
          <w:rFonts w:eastAsia="MS Mincho"/>
          <w:b/>
          <w:lang w:eastAsia="ja-JP"/>
        </w:rPr>
      </w:pPr>
      <w:r>
        <w:rPr>
          <w:rFonts w:eastAsia="MS Mincho"/>
          <w:b/>
          <w:lang w:eastAsia="ja-JP"/>
        </w:rPr>
        <w:t xml:space="preserve">URL: </w:t>
      </w:r>
      <w:r w:rsidR="00390F6D" w:rsidRPr="00390F6D">
        <w:rPr>
          <w:rFonts w:eastAsia="MS Mincho"/>
          <w:lang w:eastAsia="ja-JP"/>
        </w:rPr>
        <w:t>http://journals.sagepub.com/doi/full/10.1177/2158244012451752</w:t>
      </w:r>
    </w:p>
    <w:p w:rsidR="00EB27BE" w:rsidRPr="00E03716" w:rsidRDefault="00EB27BE" w:rsidP="00EB27BE">
      <w:pPr>
        <w:spacing w:line="240" w:lineRule="auto"/>
        <w:rPr>
          <w:rFonts w:eastAsia="MS Mincho"/>
          <w:lang w:eastAsia="ja-JP"/>
        </w:rPr>
      </w:pPr>
      <w:r w:rsidRPr="00FF0284">
        <w:rPr>
          <w:rFonts w:eastAsia="MS Mincho"/>
          <w:b/>
          <w:lang w:eastAsia="ja-JP"/>
        </w:rPr>
        <w:t xml:space="preserve">Learning Objective: </w:t>
      </w:r>
      <w:r w:rsidR="00E03716">
        <w:rPr>
          <w:rFonts w:eastAsia="MS Mincho"/>
          <w:lang w:eastAsia="ja-JP"/>
        </w:rPr>
        <w:t>2</w:t>
      </w:r>
      <w:r w:rsidR="006B7F74">
        <w:rPr>
          <w:rFonts w:eastAsia="MS Mincho"/>
          <w:lang w:eastAsia="ja-JP"/>
        </w:rPr>
        <w:t xml:space="preserve"> &amp; </w:t>
      </w:r>
      <w:r w:rsidR="00E03716">
        <w:rPr>
          <w:rFonts w:eastAsia="MS Mincho"/>
          <w:lang w:eastAsia="ja-JP"/>
        </w:rPr>
        <w:t>3</w:t>
      </w:r>
    </w:p>
    <w:p w:rsidR="00EB27BE" w:rsidRPr="00E03716" w:rsidRDefault="00EB27BE" w:rsidP="00EB27BE">
      <w:pPr>
        <w:spacing w:line="240" w:lineRule="auto"/>
        <w:rPr>
          <w:rFonts w:eastAsia="MS Mincho"/>
          <w:lang w:eastAsia="ja-JP"/>
        </w:rPr>
      </w:pPr>
      <w:r>
        <w:rPr>
          <w:rFonts w:eastAsia="MS Mincho"/>
          <w:b/>
          <w:lang w:eastAsia="ja-JP"/>
        </w:rPr>
        <w:t xml:space="preserve">Summary: </w:t>
      </w:r>
      <w:r w:rsidR="00E03716">
        <w:rPr>
          <w:rFonts w:eastAsia="MS Mincho"/>
          <w:lang w:eastAsia="ja-JP"/>
        </w:rPr>
        <w:t xml:space="preserve">Abstract: </w:t>
      </w:r>
      <w:r w:rsidR="00E03716" w:rsidRPr="00E03716">
        <w:rPr>
          <w:rFonts w:eastAsia="MS Mincho"/>
          <w:lang w:eastAsia="ja-JP"/>
        </w:rPr>
        <w:t>The authors approached women’s and men’s personality styles within a gender socialization framework, as it appears that personality operates differently for males and females not only as a function of their sex but also as a function of their conformity to gender norms and roles. In total, 604 college students (202 men and 402 women) completed the Millon Index of Personality Styles, and the women also completed the Conformity to Feminine Norms Inventory. Significant sex differences in personality emerged. However, the number and magnitude differed as a function of women’s conformity to feminine norms to the extent that, in the case of the lower conformity group, the differences between women and men decreased. Conformity to feminine norms also explained from 4% to 33% of the variance in each personality style. The findings support previous research and highlight the importance of studying gender differences and gender roles on the effects of personality.</w:t>
      </w:r>
    </w:p>
    <w:p w:rsidR="00EB27BE" w:rsidRPr="00D579B6" w:rsidRDefault="00EB27BE" w:rsidP="00EB27BE">
      <w:pPr>
        <w:spacing w:line="240" w:lineRule="auto"/>
        <w:rPr>
          <w:rFonts w:eastAsia="MS Mincho"/>
          <w:lang w:eastAsia="ja-JP"/>
        </w:rPr>
      </w:pPr>
      <w:r w:rsidRPr="00557E5A">
        <w:rPr>
          <w:b/>
        </w:rPr>
        <w:t>Questions to Consider:</w:t>
      </w:r>
      <w:r>
        <w:rPr>
          <w:b/>
        </w:rPr>
        <w:t xml:space="preserve"> </w:t>
      </w:r>
    </w:p>
    <w:p w:rsidR="00EB27BE" w:rsidRDefault="00AF255D" w:rsidP="000D79BD">
      <w:pPr>
        <w:numPr>
          <w:ilvl w:val="0"/>
          <w:numId w:val="3"/>
        </w:numPr>
        <w:spacing w:after="0" w:line="240" w:lineRule="auto"/>
      </w:pPr>
      <w:r w:rsidRPr="00AF255D">
        <w:t xml:space="preserve">The concept of </w:t>
      </w:r>
      <w:r>
        <w:t>______</w:t>
      </w:r>
      <w:r w:rsidR="006B7F74">
        <w:t xml:space="preserve"> </w:t>
      </w:r>
      <w:r w:rsidRPr="00AF255D">
        <w:t>represents an important step in capturing the diversity of people’s stable behavior</w:t>
      </w:r>
      <w:r>
        <w:t>.</w:t>
      </w:r>
      <w:r w:rsidR="000D79BD">
        <w:t xml:space="preserve"> </w:t>
      </w:r>
      <w:r w:rsidR="000D79BD" w:rsidRPr="000D79BD">
        <w:t>Cognitive Domain: Knowledge</w:t>
      </w:r>
    </w:p>
    <w:p w:rsidR="00AF255D" w:rsidRDefault="006B7F74" w:rsidP="00AF255D">
      <w:pPr>
        <w:pStyle w:val="ListParagraph"/>
        <w:numPr>
          <w:ilvl w:val="0"/>
          <w:numId w:val="8"/>
        </w:numPr>
        <w:spacing w:after="0" w:line="240" w:lineRule="auto"/>
      </w:pPr>
      <w:r>
        <w:t xml:space="preserve">gender </w:t>
      </w:r>
      <w:r w:rsidR="00AF255D">
        <w:t>role</w:t>
      </w:r>
    </w:p>
    <w:p w:rsidR="00AF255D" w:rsidRDefault="006B7F74" w:rsidP="00AF255D">
      <w:pPr>
        <w:pStyle w:val="ListParagraph"/>
        <w:numPr>
          <w:ilvl w:val="0"/>
          <w:numId w:val="8"/>
        </w:numPr>
        <w:spacing w:after="0" w:line="240" w:lineRule="auto"/>
      </w:pPr>
      <w:r>
        <w:t xml:space="preserve">sexual </w:t>
      </w:r>
      <w:r w:rsidR="00AF255D">
        <w:t>orientation</w:t>
      </w:r>
    </w:p>
    <w:p w:rsidR="00AF255D" w:rsidRDefault="006B7F74" w:rsidP="00AF255D">
      <w:pPr>
        <w:pStyle w:val="ListParagraph"/>
        <w:numPr>
          <w:ilvl w:val="0"/>
          <w:numId w:val="8"/>
        </w:numPr>
        <w:spacing w:after="0" w:line="240" w:lineRule="auto"/>
      </w:pPr>
      <w:r>
        <w:t xml:space="preserve">personality </w:t>
      </w:r>
      <w:r w:rsidR="00AF255D">
        <w:t>type</w:t>
      </w:r>
    </w:p>
    <w:p w:rsidR="00AF255D" w:rsidRPr="00AF255D" w:rsidRDefault="006B7F74" w:rsidP="005D5DD4">
      <w:pPr>
        <w:pStyle w:val="ListParagraph"/>
        <w:numPr>
          <w:ilvl w:val="0"/>
          <w:numId w:val="8"/>
        </w:numPr>
        <w:spacing w:after="0" w:line="240" w:lineRule="auto"/>
        <w:rPr>
          <w:b/>
        </w:rPr>
      </w:pPr>
      <w:r>
        <w:rPr>
          <w:b/>
        </w:rPr>
        <w:t>p</w:t>
      </w:r>
      <w:r w:rsidRPr="00AF255D">
        <w:rPr>
          <w:b/>
        </w:rPr>
        <w:t xml:space="preserve">ersonality </w:t>
      </w:r>
      <w:r w:rsidR="00AF255D" w:rsidRPr="00AF255D">
        <w:rPr>
          <w:b/>
        </w:rPr>
        <w:t>style</w:t>
      </w:r>
      <w:r w:rsidR="005D5DD4">
        <w:rPr>
          <w:b/>
        </w:rPr>
        <w:t xml:space="preserve"> </w:t>
      </w:r>
    </w:p>
    <w:p w:rsidR="00EB27BE" w:rsidRDefault="009073CE" w:rsidP="000D79BD">
      <w:pPr>
        <w:numPr>
          <w:ilvl w:val="0"/>
          <w:numId w:val="3"/>
        </w:numPr>
        <w:spacing w:after="0" w:line="240" w:lineRule="auto"/>
      </w:pPr>
      <w:r>
        <w:t xml:space="preserve">The authors claim that </w:t>
      </w:r>
      <w:r w:rsidRPr="009073CE">
        <w:t xml:space="preserve">the </w:t>
      </w:r>
      <w:r>
        <w:t>______</w:t>
      </w:r>
      <w:r w:rsidR="006B7F74">
        <w:t xml:space="preserve"> </w:t>
      </w:r>
      <w:r w:rsidRPr="009073CE">
        <w:t>of gender, operationalized as the level of conformity to gender norms, plays an important role in personality styles.</w:t>
      </w:r>
      <w:r w:rsidR="000D79BD">
        <w:t xml:space="preserve"> </w:t>
      </w:r>
      <w:r w:rsidR="000D79BD" w:rsidRPr="000D79BD">
        <w:t>Cognitive Domain: Comprehension</w:t>
      </w:r>
    </w:p>
    <w:p w:rsidR="009073CE" w:rsidRDefault="006B7F74" w:rsidP="009073CE">
      <w:pPr>
        <w:pStyle w:val="ListParagraph"/>
        <w:numPr>
          <w:ilvl w:val="0"/>
          <w:numId w:val="9"/>
        </w:numPr>
        <w:spacing w:after="0" w:line="240" w:lineRule="auto"/>
      </w:pPr>
      <w:r>
        <w:lastRenderedPageBreak/>
        <w:t>stereotyping</w:t>
      </w:r>
    </w:p>
    <w:p w:rsidR="009073CE" w:rsidRPr="009073CE" w:rsidRDefault="006B7F74" w:rsidP="00484592">
      <w:pPr>
        <w:pStyle w:val="ListParagraph"/>
        <w:numPr>
          <w:ilvl w:val="0"/>
          <w:numId w:val="9"/>
        </w:numPr>
        <w:spacing w:after="0" w:line="240" w:lineRule="auto"/>
        <w:rPr>
          <w:b/>
        </w:rPr>
      </w:pPr>
      <w:r>
        <w:rPr>
          <w:b/>
        </w:rPr>
        <w:t>s</w:t>
      </w:r>
      <w:r w:rsidRPr="009073CE">
        <w:rPr>
          <w:b/>
        </w:rPr>
        <w:t xml:space="preserve">ocial </w:t>
      </w:r>
      <w:r w:rsidR="009073CE" w:rsidRPr="009073CE">
        <w:rPr>
          <w:b/>
        </w:rPr>
        <w:t>learning</w:t>
      </w:r>
      <w:r w:rsidR="009073CE">
        <w:rPr>
          <w:b/>
        </w:rPr>
        <w:t xml:space="preserve"> </w:t>
      </w:r>
    </w:p>
    <w:p w:rsidR="009073CE" w:rsidRDefault="006B7F74" w:rsidP="009073CE">
      <w:pPr>
        <w:pStyle w:val="ListParagraph"/>
        <w:numPr>
          <w:ilvl w:val="0"/>
          <w:numId w:val="9"/>
        </w:numPr>
        <w:spacing w:after="0" w:line="240" w:lineRule="auto"/>
      </w:pPr>
      <w:r>
        <w:t xml:space="preserve">social </w:t>
      </w:r>
      <w:r w:rsidR="009073CE">
        <w:t>identity</w:t>
      </w:r>
    </w:p>
    <w:p w:rsidR="009073CE" w:rsidRPr="00557E5A" w:rsidRDefault="006B7F74" w:rsidP="009073CE">
      <w:pPr>
        <w:pStyle w:val="ListParagraph"/>
        <w:numPr>
          <w:ilvl w:val="0"/>
          <w:numId w:val="9"/>
        </w:numPr>
        <w:spacing w:after="0" w:line="240" w:lineRule="auto"/>
      </w:pPr>
      <w:r>
        <w:t xml:space="preserve">social </w:t>
      </w:r>
      <w:r w:rsidR="009073CE">
        <w:t>construct</w:t>
      </w:r>
    </w:p>
    <w:p w:rsidR="00EB27BE" w:rsidRPr="00557E5A" w:rsidRDefault="0021679B" w:rsidP="0021679B">
      <w:pPr>
        <w:numPr>
          <w:ilvl w:val="0"/>
          <w:numId w:val="3"/>
        </w:numPr>
        <w:spacing w:after="0" w:line="240" w:lineRule="auto"/>
      </w:pPr>
      <w:r>
        <w:t xml:space="preserve">Explain and define what is meant by a </w:t>
      </w:r>
      <w:r w:rsidR="006B7F74">
        <w:rPr>
          <w:i/>
        </w:rPr>
        <w:t>s</w:t>
      </w:r>
      <w:r w:rsidRPr="00CE0E21">
        <w:rPr>
          <w:i/>
        </w:rPr>
        <w:t>ociocultural model</w:t>
      </w:r>
      <w:r>
        <w:t xml:space="preserve"> of gender and personality. Discuss why you </w:t>
      </w:r>
      <w:r w:rsidR="00C61064">
        <w:t xml:space="preserve">do or do not </w:t>
      </w:r>
      <w:r>
        <w:t xml:space="preserve">align with this concept. </w:t>
      </w:r>
      <w:r w:rsidRPr="0021679B">
        <w:t>Cognitive Domain: Analysis</w:t>
      </w:r>
    </w:p>
    <w:p w:rsidR="00C93002" w:rsidRDefault="00C93002"/>
    <w:sectPr w:rsidR="00C93002" w:rsidSect="00BE73B9">
      <w:head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994" w:rsidRDefault="005D2994" w:rsidP="00775B4C">
      <w:pPr>
        <w:spacing w:after="0" w:line="240" w:lineRule="auto"/>
      </w:pPr>
      <w:r>
        <w:separator/>
      </w:r>
    </w:p>
  </w:endnote>
  <w:endnote w:type="continuationSeparator" w:id="0">
    <w:p w:rsidR="005D2994" w:rsidRDefault="005D2994" w:rsidP="00775B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994" w:rsidRDefault="005D2994" w:rsidP="00775B4C">
      <w:pPr>
        <w:spacing w:after="0" w:line="240" w:lineRule="auto"/>
      </w:pPr>
      <w:r>
        <w:separator/>
      </w:r>
    </w:p>
  </w:footnote>
  <w:footnote w:type="continuationSeparator" w:id="0">
    <w:p w:rsidR="005D2994" w:rsidRDefault="005D2994" w:rsidP="00775B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B4C" w:rsidRDefault="00775B4C" w:rsidP="00775B4C">
    <w:pPr>
      <w:pStyle w:val="Header"/>
      <w:jc w:val="right"/>
    </w:pPr>
    <w:r>
      <w:t>Instructor Resource</w:t>
    </w:r>
  </w:p>
  <w:p w:rsidR="00775B4C" w:rsidRDefault="00775B4C" w:rsidP="00775B4C">
    <w:pPr>
      <w:pStyle w:val="Header"/>
      <w:jc w:val="right"/>
    </w:pPr>
    <w:r>
      <w:t xml:space="preserve">Shiraev, </w:t>
    </w:r>
    <w:r w:rsidRPr="00A62AA1">
      <w:rPr>
        <w:i/>
      </w:rPr>
      <w:t>Personality Theories</w:t>
    </w:r>
  </w:p>
  <w:p w:rsidR="00775B4C" w:rsidRDefault="00775B4C" w:rsidP="00CE0E21">
    <w:pPr>
      <w:pStyle w:val="Header"/>
      <w:jc w:val="right"/>
    </w:pPr>
    <w:r>
      <w:t>SAGE Publishing,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D346F"/>
    <w:multiLevelType w:val="hybridMultilevel"/>
    <w:tmpl w:val="C6728AE8"/>
    <w:lvl w:ilvl="0" w:tplc="F4C85F1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940DC6"/>
    <w:multiLevelType w:val="hybridMultilevel"/>
    <w:tmpl w:val="0506F2BA"/>
    <w:lvl w:ilvl="0" w:tplc="46A6A7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82153B"/>
    <w:multiLevelType w:val="hybridMultilevel"/>
    <w:tmpl w:val="C35C2D5C"/>
    <w:lvl w:ilvl="0" w:tplc="FD7E93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E5B153F"/>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5E7449AD"/>
    <w:multiLevelType w:val="hybridMultilevel"/>
    <w:tmpl w:val="7E923166"/>
    <w:lvl w:ilvl="0" w:tplc="43EE4D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41848BE"/>
    <w:multiLevelType w:val="hybridMultilevel"/>
    <w:tmpl w:val="902A177C"/>
    <w:lvl w:ilvl="0" w:tplc="51C8DE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F6D6675"/>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73152A6C"/>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7CB334F1"/>
    <w:multiLevelType w:val="hybridMultilevel"/>
    <w:tmpl w:val="3FFE7B64"/>
    <w:lvl w:ilvl="0" w:tplc="C1E057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3"/>
  </w:num>
  <w:num w:numId="4">
    <w:abstractNumId w:val="1"/>
  </w:num>
  <w:num w:numId="5">
    <w:abstractNumId w:val="4"/>
  </w:num>
  <w:num w:numId="6">
    <w:abstractNumId w:val="0"/>
  </w:num>
  <w:num w:numId="7">
    <w:abstractNumId w:val="5"/>
  </w:num>
  <w:num w:numId="8">
    <w:abstractNumId w:val="8"/>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 Wainwright">
    <w15:presenceInfo w15:providerId="None" w15:userId="D. Wainwrig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7BE"/>
    <w:rsid w:val="00027429"/>
    <w:rsid w:val="000A7B70"/>
    <w:rsid w:val="000C28D8"/>
    <w:rsid w:val="000D79BD"/>
    <w:rsid w:val="001456FB"/>
    <w:rsid w:val="00156AEC"/>
    <w:rsid w:val="0021679B"/>
    <w:rsid w:val="00364A05"/>
    <w:rsid w:val="00390F6D"/>
    <w:rsid w:val="00393273"/>
    <w:rsid w:val="00484592"/>
    <w:rsid w:val="004E2FFC"/>
    <w:rsid w:val="005D1559"/>
    <w:rsid w:val="005D2994"/>
    <w:rsid w:val="005D5DD4"/>
    <w:rsid w:val="005E352D"/>
    <w:rsid w:val="006B7F74"/>
    <w:rsid w:val="007727E2"/>
    <w:rsid w:val="00775B4C"/>
    <w:rsid w:val="008019CD"/>
    <w:rsid w:val="00882B90"/>
    <w:rsid w:val="009073CE"/>
    <w:rsid w:val="009B6066"/>
    <w:rsid w:val="00A14BDE"/>
    <w:rsid w:val="00AA70F0"/>
    <w:rsid w:val="00AF255D"/>
    <w:rsid w:val="00BE586D"/>
    <w:rsid w:val="00C61064"/>
    <w:rsid w:val="00C93002"/>
    <w:rsid w:val="00CD3656"/>
    <w:rsid w:val="00CE0E21"/>
    <w:rsid w:val="00D3280C"/>
    <w:rsid w:val="00D51E07"/>
    <w:rsid w:val="00DB1E91"/>
    <w:rsid w:val="00DE7B62"/>
    <w:rsid w:val="00E03716"/>
    <w:rsid w:val="00E143DB"/>
    <w:rsid w:val="00EA430C"/>
    <w:rsid w:val="00EB27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7BE"/>
    <w:pPr>
      <w:spacing w:after="200" w:line="276" w:lineRule="auto"/>
    </w:pPr>
  </w:style>
  <w:style w:type="paragraph" w:styleId="Heading1">
    <w:name w:val="heading 1"/>
    <w:basedOn w:val="Normal"/>
    <w:next w:val="Normal"/>
    <w:link w:val="Heading1Char"/>
    <w:uiPriority w:val="9"/>
    <w:qFormat/>
    <w:rsid w:val="00EB27BE"/>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27BE"/>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0A7B70"/>
    <w:pPr>
      <w:ind w:left="720"/>
      <w:contextualSpacing/>
    </w:pPr>
  </w:style>
  <w:style w:type="paragraph" w:styleId="Header">
    <w:name w:val="header"/>
    <w:basedOn w:val="Normal"/>
    <w:link w:val="HeaderChar"/>
    <w:uiPriority w:val="99"/>
    <w:unhideWhenUsed/>
    <w:rsid w:val="00775B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5B4C"/>
  </w:style>
  <w:style w:type="paragraph" w:styleId="Footer">
    <w:name w:val="footer"/>
    <w:basedOn w:val="Normal"/>
    <w:link w:val="FooterChar"/>
    <w:uiPriority w:val="99"/>
    <w:unhideWhenUsed/>
    <w:rsid w:val="00775B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B4C"/>
  </w:style>
  <w:style w:type="paragraph" w:styleId="BalloonText">
    <w:name w:val="Balloon Text"/>
    <w:basedOn w:val="Normal"/>
    <w:link w:val="BalloonTextChar"/>
    <w:uiPriority w:val="99"/>
    <w:semiHidden/>
    <w:unhideWhenUsed/>
    <w:rsid w:val="00775B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5B4C"/>
    <w:rPr>
      <w:rFonts w:ascii="Segoe UI" w:hAnsi="Segoe UI" w:cs="Segoe UI"/>
      <w:sz w:val="18"/>
      <w:szCs w:val="18"/>
    </w:rPr>
  </w:style>
  <w:style w:type="paragraph" w:styleId="Title">
    <w:name w:val="Title"/>
    <w:basedOn w:val="Normal"/>
    <w:next w:val="Normal"/>
    <w:link w:val="TitleChar"/>
    <w:uiPriority w:val="10"/>
    <w:qFormat/>
    <w:rsid w:val="00775B4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5B4C"/>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0C28D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7BE"/>
    <w:pPr>
      <w:spacing w:after="200" w:line="276" w:lineRule="auto"/>
    </w:pPr>
  </w:style>
  <w:style w:type="paragraph" w:styleId="Heading1">
    <w:name w:val="heading 1"/>
    <w:basedOn w:val="Normal"/>
    <w:next w:val="Normal"/>
    <w:link w:val="Heading1Char"/>
    <w:uiPriority w:val="9"/>
    <w:qFormat/>
    <w:rsid w:val="00EB27BE"/>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27BE"/>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0A7B70"/>
    <w:pPr>
      <w:ind w:left="720"/>
      <w:contextualSpacing/>
    </w:pPr>
  </w:style>
  <w:style w:type="paragraph" w:styleId="Header">
    <w:name w:val="header"/>
    <w:basedOn w:val="Normal"/>
    <w:link w:val="HeaderChar"/>
    <w:uiPriority w:val="99"/>
    <w:unhideWhenUsed/>
    <w:rsid w:val="00775B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5B4C"/>
  </w:style>
  <w:style w:type="paragraph" w:styleId="Footer">
    <w:name w:val="footer"/>
    <w:basedOn w:val="Normal"/>
    <w:link w:val="FooterChar"/>
    <w:uiPriority w:val="99"/>
    <w:unhideWhenUsed/>
    <w:rsid w:val="00775B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B4C"/>
  </w:style>
  <w:style w:type="paragraph" w:styleId="BalloonText">
    <w:name w:val="Balloon Text"/>
    <w:basedOn w:val="Normal"/>
    <w:link w:val="BalloonTextChar"/>
    <w:uiPriority w:val="99"/>
    <w:semiHidden/>
    <w:unhideWhenUsed/>
    <w:rsid w:val="00775B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5B4C"/>
    <w:rPr>
      <w:rFonts w:ascii="Segoe UI" w:hAnsi="Segoe UI" w:cs="Segoe UI"/>
      <w:sz w:val="18"/>
      <w:szCs w:val="18"/>
    </w:rPr>
  </w:style>
  <w:style w:type="paragraph" w:styleId="Title">
    <w:name w:val="Title"/>
    <w:basedOn w:val="Normal"/>
    <w:next w:val="Normal"/>
    <w:link w:val="TitleChar"/>
    <w:uiPriority w:val="10"/>
    <w:qFormat/>
    <w:rsid w:val="00775B4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5B4C"/>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0C28D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journals.sagepub.com/stoken/default+domain/7xWjxIfIubrE2a23fxIf/ful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journals.sagepub.com/stoken/default+domain/8INw3qXGss6PjKfh3EJI/full" TargetMode="External"/><Relationship Id="rId4" Type="http://schemas.openxmlformats.org/officeDocument/2006/relationships/settings" Target="settings.xml"/><Relationship Id="rId9" Type="http://schemas.openxmlformats.org/officeDocument/2006/relationships/hyperlink" Target="http://journals.sagepub.com/stoken/default+domain/CeG3Zk7YfTd9hS6aYFsD/full"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3</Pages>
  <Words>937</Words>
  <Characters>5342</Characters>
  <Application>Microsoft Office Word</Application>
  <DocSecurity>0</DocSecurity>
  <Lines>44</Lines>
  <Paragraphs>12</Paragraphs>
  <ScaleCrop>false</ScaleCrop>
  <Company/>
  <LinksUpToDate>false</LinksUpToDate>
  <CharactersWithSpaces>6267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Davis</dc:creator>
  <cp:keywords/>
  <dc:description/>
  <cp:lastModifiedBy>Randall, Alexandra</cp:lastModifiedBy>
  <cp:revision>34</cp:revision>
  <dcterms:created xsi:type="dcterms:W3CDTF">2017-01-19T14:53:00Z</dcterms:created>
  <dcterms:modified xsi:type="dcterms:W3CDTF">2017-03-03T22:58:00Z</dcterms:modified>
</cp:coreProperties>
</file>